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01" w:rsidRDefault="004A6B25">
      <w:pPr>
        <w:pStyle w:val="LO-normal"/>
        <w:tabs>
          <w:tab w:val="left" w:pos="5727"/>
        </w:tabs>
        <w:spacing w:line="240" w:lineRule="auto"/>
        <w:jc w:val="center"/>
        <w:rPr>
          <w:rFonts w:ascii="C059" w:hAnsi="C059"/>
        </w:rPr>
      </w:pPr>
      <w:bookmarkStart w:id="0" w:name="_GoBack"/>
      <w:bookmarkEnd w:id="0"/>
      <w:r>
        <w:rPr>
          <w:rFonts w:ascii="C059" w:eastAsia="Times New Roman" w:hAnsi="C059" w:cs="Times New Roman"/>
          <w:lang w:val="uk-UA"/>
        </w:rPr>
        <w:t>Обґрунтування технічних та якісних характеристик предмета закупівлі, очікуваної вартості предмета закупівлі.</w:t>
      </w:r>
    </w:p>
    <w:p w:rsidR="00BE3301" w:rsidRDefault="004A6B25">
      <w:pPr>
        <w:pStyle w:val="LO-normal"/>
        <w:rPr>
          <w:rFonts w:ascii="C059" w:hAnsi="C059"/>
        </w:rPr>
      </w:pPr>
      <w:r>
        <w:rPr>
          <w:rFonts w:ascii="C059" w:hAnsi="C059"/>
        </w:rPr>
        <w:t xml:space="preserve">Ідентифікатор тендеру UA-2021-02-10-004348-b 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510"/>
        <w:jc w:val="both"/>
        <w:rPr>
          <w:rFonts w:ascii="C059" w:hAnsi="C059"/>
        </w:rPr>
      </w:pPr>
      <w:r>
        <w:rPr>
          <w:rFonts w:ascii="C059" w:eastAsia="Times New Roman" w:hAnsi="C059" w:cs="Times New Roman"/>
        </w:rPr>
        <w:t xml:space="preserve">Необхідність закупівлі </w:t>
      </w:r>
      <w:r>
        <w:rPr>
          <w:rFonts w:ascii="C059" w:eastAsia="Times New Roman" w:hAnsi="C059" w:cs="Times New Roman"/>
          <w:b/>
          <w:bCs/>
        </w:rPr>
        <w:t xml:space="preserve">послуги із забезпечення перетікань реактивної електричної енергії (відповідний код </w:t>
      </w:r>
      <w:r>
        <w:rPr>
          <w:rFonts w:ascii="C059" w:eastAsia="Times New Roman" w:hAnsi="C059" w:cs="Times New Roman"/>
          <w:b/>
          <w:bCs/>
          <w:color w:val="000000"/>
          <w:shd w:val="clear" w:color="auto" w:fill="FFFFFF"/>
          <w:lang w:val="en-US"/>
        </w:rPr>
        <w:t>65320000-2</w:t>
      </w:r>
      <w:r>
        <w:rPr>
          <w:rFonts w:ascii="C059" w:eastAsia="Times New Roman" w:hAnsi="C059" w:cs="Times New Roman"/>
          <w:b/>
          <w:bCs/>
        </w:rPr>
        <w:t xml:space="preserve">) згідно з </w:t>
      </w:r>
      <w:r>
        <w:rPr>
          <w:rFonts w:ascii="C059" w:eastAsia="Times New Roman" w:hAnsi="C059" w:cs="Times New Roman"/>
          <w:b/>
          <w:bCs/>
          <w:lang w:val="ru-RU"/>
        </w:rPr>
        <w:t xml:space="preserve">ДК 021:2015 код  </w:t>
      </w:r>
      <w:r>
        <w:rPr>
          <w:rFonts w:ascii="C059" w:eastAsia="Times New Roman" w:hAnsi="C059" w:cs="Times New Roman"/>
          <w:b/>
          <w:bCs/>
          <w:color w:val="000000"/>
          <w:shd w:val="clear" w:color="auto" w:fill="FFFFFF"/>
          <w:lang w:val="en-US"/>
        </w:rPr>
        <w:t>65320000-2</w:t>
      </w:r>
      <w:r>
        <w:rPr>
          <w:rFonts w:ascii="C059" w:eastAsia="Times New Roman" w:hAnsi="C059" w:cs="Times New Roman"/>
          <w:b/>
          <w:bCs/>
          <w:color w:val="000000"/>
          <w:lang w:val="ru-RU"/>
        </w:rPr>
        <w:t xml:space="preserve"> </w:t>
      </w:r>
      <w:r>
        <w:rPr>
          <w:rFonts w:ascii="C059" w:eastAsia="Times New Roman" w:hAnsi="C059" w:cs="Times New Roman"/>
          <w:b/>
          <w:bCs/>
          <w:lang w:val="ru-RU"/>
        </w:rPr>
        <w:t>(</w:t>
      </w:r>
      <w:r>
        <w:rPr>
          <w:rFonts w:ascii="C059" w:eastAsia="Times New Roman" w:hAnsi="C059" w:cs="Times New Roman"/>
          <w:b/>
          <w:bCs/>
          <w:color w:val="000000"/>
          <w:shd w:val="clear" w:color="auto" w:fill="FFFFFF"/>
          <w:lang w:val="ru-RU"/>
        </w:rPr>
        <w:t>експлуатація електричних установок</w:t>
      </w:r>
      <w:r>
        <w:rPr>
          <w:rFonts w:ascii="C059" w:eastAsia="Times New Roman" w:hAnsi="C059" w:cs="Times New Roman"/>
          <w:b/>
          <w:bCs/>
          <w:lang w:val="ru-RU"/>
        </w:rPr>
        <w:t>)</w:t>
      </w:r>
      <w:r>
        <w:rPr>
          <w:rFonts w:ascii="C059" w:eastAsia="Times New Roman" w:hAnsi="C059" w:cs="Times New Roman"/>
          <w:lang w:val="ru-RU"/>
        </w:rPr>
        <w:t xml:space="preserve"> </w:t>
      </w:r>
      <w:r>
        <w:rPr>
          <w:rFonts w:ascii="C059" w:eastAsia="Times New Roman" w:hAnsi="C059" w:cs="Times New Roman"/>
        </w:rPr>
        <w:t xml:space="preserve">обумовлена </w:t>
      </w:r>
      <w:r>
        <w:rPr>
          <w:rFonts w:ascii="C059" w:eastAsia="Times New Roman" w:hAnsi="C059" w:cs="Times New Roman"/>
          <w:color w:val="000000"/>
        </w:rPr>
        <w:t xml:space="preserve">потребою </w:t>
      </w:r>
      <w:bookmarkStart w:id="1" w:name="tw-target-text2"/>
      <w:bookmarkEnd w:id="1"/>
      <w:r>
        <w:rPr>
          <w:rFonts w:ascii="C059" w:eastAsia="Times New Roman" w:hAnsi="C059" w:cs="Times New Roman"/>
          <w:color w:val="000000"/>
        </w:rPr>
        <w:t>нормального функціонування КП “Харківська обласна філармонія” згідн</w:t>
      </w:r>
      <w:r>
        <w:rPr>
          <w:rFonts w:ascii="C059" w:eastAsia="Times New Roman" w:hAnsi="C059" w:cs="Times New Roman"/>
          <w:color w:val="000000"/>
        </w:rPr>
        <w:t>о з вимогами санітарних, технічних норм та правил України.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>Необхідність закупівлі</w:t>
      </w:r>
      <w:r>
        <w:rPr>
          <w:rFonts w:ascii="C059" w:eastAsia="Times New Roman" w:hAnsi="C059" w:cs="Times New Roman"/>
          <w:color w:val="000000"/>
        </w:rPr>
        <w:t xml:space="preserve"> послуги із забезпечення перетікань реактивної електричної енергії </w:t>
      </w:r>
      <w:r>
        <w:rPr>
          <w:rStyle w:val="rvts0"/>
          <w:rFonts w:ascii="C059" w:eastAsia="Times New Roman" w:hAnsi="C059" w:cs="Times New Roman"/>
          <w:iCs/>
          <w:color w:val="000000"/>
        </w:rPr>
        <w:t xml:space="preserve"> обумовлена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вимогами: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Style w:val="rvts0"/>
          <w:rFonts w:ascii="C059" w:eastAsia="Times New Roman" w:hAnsi="C059" w:cs="Times New Roman"/>
          <w:bCs/>
          <w:iCs/>
          <w:color w:val="000000"/>
        </w:rPr>
        <w:t xml:space="preserve">Пункту 2.7 підрозділу V Правил технічної експлуатації електроустановок споживачів,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затверджених наказом Міністерства палива та енергетики України від 25.07.2006 No 258, введення та дотримання режимів компенсації реактивної потужності є одним із завдань оперативного управління електроустановками як невід’ємної складової експлуатації елект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 xml:space="preserve">ричних установок. Також, обов’язок непобутового споживача компенсувати перетікання реактивної електричної енергії випливає зі змісту пункту 8.5.9 Кодексу системи розподілу, затвердженого Постановою НКРЕКП від14.03.2018 No 310. Споживачі, крім населення та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прирівняних до нього категорій, мають забезпечити в точці приєднання до мереж ОСР нульовий перетік реактивної потужності. В іншому випадку споживачі (крім населення) здійснюють плату за компенсацію перетоку реактивно електричної енергії.</w:t>
      </w:r>
      <w:r>
        <w:rPr>
          <w:rStyle w:val="rvts0"/>
          <w:rFonts w:ascii="C059" w:eastAsia="Times New Roman" w:hAnsi="C059" w:cs="Times New Roman"/>
          <w:color w:val="000000"/>
        </w:rPr>
        <w:t xml:space="preserve"> 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Style w:val="rvts0"/>
          <w:rFonts w:ascii="C059" w:eastAsia="Times New Roman" w:hAnsi="C059" w:cs="Times New Roman"/>
          <w:color w:val="000000"/>
        </w:rPr>
        <w:t>Положення Методик</w:t>
      </w:r>
      <w:r>
        <w:rPr>
          <w:rStyle w:val="rvts0"/>
          <w:rFonts w:ascii="C059" w:eastAsia="Times New Roman" w:hAnsi="C059" w:cs="Times New Roman"/>
          <w:color w:val="000000"/>
        </w:rPr>
        <w:t>и обчислення плати за перетікання реактивної електроенергії, затверджена наказом Міністерства енергетики та вугільної промисловості України 06.02.2018 N 87 визначено, що розрахунки за перетікання реактивної електроенергії здійснюють за об’єктами споживачів</w:t>
      </w:r>
      <w:r>
        <w:rPr>
          <w:rStyle w:val="rvts0"/>
          <w:rFonts w:ascii="C059" w:eastAsia="Times New Roman" w:hAnsi="C059" w:cs="Times New Roman"/>
          <w:color w:val="000000"/>
        </w:rPr>
        <w:t xml:space="preserve"> електроенергії з дозволеною потужністю 16 кВт і більше. Тобто, непобутові споживачі зобов’язані здійснювати плату за перетікання реактивної електроенергії лише за об’єктами, договірна потужність яких дорівнює або перевищує 16 кВт.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Style w:val="rvts0"/>
          <w:rFonts w:ascii="C059" w:eastAsia="Times New Roman" w:hAnsi="C059" w:cs="Times New Roman"/>
          <w:color w:val="000000"/>
          <w:lang w:eastAsia="uk-UA" w:bidi="uk-UA"/>
        </w:rPr>
        <w:t>Враховуючи, що у КП “Хар</w:t>
      </w:r>
      <w:r>
        <w:rPr>
          <w:rStyle w:val="rvts0"/>
          <w:rFonts w:ascii="C059" w:eastAsia="Times New Roman" w:hAnsi="C059" w:cs="Times New Roman"/>
          <w:color w:val="000000"/>
          <w:lang w:eastAsia="uk-UA" w:bidi="uk-UA"/>
        </w:rPr>
        <w:t xml:space="preserve">ківська обласна філармонія”  наявні об’єкти договірна    (дозволена) потужність яких перевищує 16 кВт, (а саме будівля  філармонії розташована за адресою місто Харків вул. Римарська буд. 21) тому у замовника виникає необхідність здійснити закупівлю послуг </w:t>
      </w:r>
      <w:r>
        <w:rPr>
          <w:rStyle w:val="rvts0"/>
          <w:rFonts w:ascii="C059" w:eastAsia="Times New Roman" w:hAnsi="C059" w:cs="Times New Roman"/>
          <w:color w:val="000000"/>
          <w:lang w:eastAsia="uk-UA" w:bidi="uk-UA"/>
        </w:rPr>
        <w:t xml:space="preserve">з компенсації перетікань реактивної електричної енергії, у власника мереж до якого приєднаний Замовник, а саме  АТ « ХАРКІВОБЛЕНЕРГО».  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Fonts w:ascii="C059" w:hAnsi="C059"/>
        </w:rPr>
      </w:pPr>
      <w:r>
        <w:rPr>
          <w:rFonts w:ascii="C059" w:eastAsia="Times New Roman" w:hAnsi="C059" w:cs="Times New Roman"/>
        </w:rPr>
        <w:t>Для потреб замовника в 2021 р</w:t>
      </w:r>
      <w:bookmarkStart w:id="2" w:name="docs-internal-guid-83707f4c-7fff-7dd1-2f"/>
      <w:bookmarkEnd w:id="2"/>
      <w:r>
        <w:rPr>
          <w:rFonts w:ascii="C059" w:eastAsia="Times New Roman" w:hAnsi="C059" w:cs="Times New Roman"/>
        </w:rPr>
        <w:t>оці необхідно закупити</w:t>
      </w:r>
      <w:r>
        <w:rPr>
          <w:rFonts w:ascii="C059" w:eastAsia="Times New Roman" w:hAnsi="C059" w:cs="Times New Roman"/>
          <w:color w:val="000000"/>
          <w:lang w:val="uk-UA" w:eastAsia="uk-UA" w:bidi="uk-UA"/>
        </w:rPr>
        <w:t xml:space="preserve"> </w:t>
      </w:r>
      <w:r>
        <w:rPr>
          <w:rFonts w:ascii="C059" w:hAnsi="C059" w:cs="Times New Roman"/>
          <w:color w:val="000000"/>
          <w:lang w:val="uk-UA" w:eastAsia="uk-UA" w:bidi="uk-UA"/>
        </w:rPr>
        <w:t xml:space="preserve">послуги із забезпечення  перетікань реактивної електричної енергії </w:t>
      </w:r>
      <w:r>
        <w:rPr>
          <w:rFonts w:ascii="C059" w:hAnsi="C059" w:cs="Times New Roman"/>
          <w:color w:val="000000"/>
          <w:lang w:val="uk-UA" w:eastAsia="uk-UA" w:bidi="uk-UA"/>
        </w:rPr>
        <w:t>обсягом</w:t>
      </w:r>
      <w:r>
        <w:rPr>
          <w:rFonts w:ascii="C059" w:hAnsi="C059" w:cs="Times New Roman"/>
          <w:color w:val="000000"/>
          <w:lang w:eastAsia="uk-UA" w:bidi="uk-UA"/>
        </w:rPr>
        <w:t xml:space="preserve"> </w:t>
      </w:r>
      <w:r>
        <w:rPr>
          <w:rFonts w:ascii="C059" w:hAnsi="C059" w:cs="Times New Roman"/>
          <w:color w:val="000000"/>
          <w:lang w:eastAsia="uk-UA" w:bidi="uk-UA"/>
        </w:rPr>
        <w:t>180000</w:t>
      </w:r>
      <w:r>
        <w:rPr>
          <w:rFonts w:ascii="C059" w:hAnsi="C059" w:cs="Times New Roman"/>
          <w:color w:val="000000"/>
          <w:lang w:eastAsia="uk-UA" w:bidi="uk-UA"/>
        </w:rPr>
        <w:t xml:space="preserve"> кВар*год.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Fonts w:ascii="C059" w:hAnsi="C059"/>
        </w:rPr>
      </w:pPr>
      <w:r>
        <w:rPr>
          <w:rFonts w:ascii="C059" w:eastAsia="Times New Roman" w:hAnsi="C059" w:cs="Times New Roman"/>
        </w:rPr>
        <w:t xml:space="preserve">Обсяг необхідних послуг, був сформований виходячи з необхідності </w:t>
      </w:r>
      <w:r>
        <w:rPr>
          <w:rFonts w:ascii="C059" w:eastAsia="Times New Roman" w:hAnsi="C059" w:cs="Times New Roman"/>
        </w:rPr>
        <w:t>роботи</w:t>
      </w:r>
      <w:r>
        <w:rPr>
          <w:rFonts w:ascii="C059" w:eastAsia="Times New Roman" w:hAnsi="C059" w:cs="Times New Roman"/>
        </w:rPr>
        <w:t xml:space="preserve"> насосного, компресорного обладнання, а також електродвигунів з великим споживанням активної електричної енергії та вироблянням реактивної.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567"/>
        <w:jc w:val="both"/>
      </w:pPr>
      <w:r>
        <w:rPr>
          <w:rFonts w:ascii="C059" w:eastAsia="Times New Roman" w:hAnsi="C059" w:cs="Times New Roman"/>
        </w:rPr>
        <w:t xml:space="preserve">Визначити фактичні обсяги споживання </w:t>
      </w:r>
      <w:r>
        <w:rPr>
          <w:rStyle w:val="rvts0"/>
          <w:rFonts w:ascii="C059" w:eastAsia="Times New Roman" w:hAnsi="C059" w:cs="Times New Roman"/>
          <w:iCs/>
          <w:color w:val="000000"/>
        </w:rPr>
        <w:t xml:space="preserve">послуги із забезпечення перетікань реактивної електричної енергії </w:t>
      </w:r>
      <w:r>
        <w:rPr>
          <w:rFonts w:ascii="C059" w:eastAsia="Times New Roman" w:hAnsi="C059" w:cs="Times New Roman"/>
        </w:rPr>
        <w:t xml:space="preserve"> на даний момент не можливо у зв“язку з тим, що будівля КП “Харківська обласна філармонія” разом з інженерним обладнанням передана на баланс Комунального</w:t>
      </w:r>
      <w:r>
        <w:rPr>
          <w:rFonts w:ascii="C059" w:eastAsia="Times New Roman" w:hAnsi="C059" w:cs="Times New Roman"/>
        </w:rPr>
        <w:t xml:space="preserve"> підприємства “Харківська обласна філармонія” рішенням Харківської обласної ради у грудні 2019 року. Фактично приміщення не експлуатувались на повну потужність. Також </w:t>
      </w:r>
      <w:r>
        <w:rPr>
          <w:rFonts w:ascii="C059" w:eastAsia="Times New Roman" w:hAnsi="C059" w:cs="Times New Roman"/>
        </w:rPr>
        <w:t>протягом</w:t>
      </w:r>
      <w:r>
        <w:rPr>
          <w:rFonts w:ascii="C059" w:eastAsia="Times New Roman" w:hAnsi="C059" w:cs="Times New Roman"/>
        </w:rPr>
        <w:t xml:space="preserve"> 2020 </w:t>
      </w:r>
      <w:r>
        <w:rPr>
          <w:rFonts w:ascii="C059" w:eastAsia="Times New Roman" w:hAnsi="C059" w:cs="Times New Roman"/>
        </w:rPr>
        <w:t xml:space="preserve">року </w:t>
      </w:r>
      <w:r>
        <w:rPr>
          <w:rFonts w:ascii="C059" w:eastAsia="Times New Roman" w:hAnsi="C059" w:cs="Times New Roman"/>
        </w:rPr>
        <w:t>у зв“язку зі встановленням карантинних обмежень електроенергетичне обл</w:t>
      </w:r>
      <w:r>
        <w:rPr>
          <w:rFonts w:ascii="C059" w:eastAsia="Times New Roman" w:hAnsi="C059" w:cs="Times New Roman"/>
        </w:rPr>
        <w:t xml:space="preserve">аднання будівлі КП “Харківська обласна філармонія” не використовувалось у повному обсязі. Тому </w:t>
      </w:r>
      <w:r>
        <w:rPr>
          <w:rFonts w:ascii="C059" w:eastAsia="Times New Roman" w:hAnsi="C059" w:cs="Times New Roman"/>
        </w:rPr>
        <w:t>обсяг</w:t>
      </w:r>
      <w:r>
        <w:rPr>
          <w:rFonts w:ascii="C059" w:eastAsia="Times New Roman" w:hAnsi="C059" w:cs="Times New Roman"/>
        </w:rPr>
        <w:t xml:space="preserve"> </w:t>
      </w:r>
      <w:r>
        <w:rPr>
          <w:rStyle w:val="rvts0"/>
          <w:rFonts w:ascii="C059" w:eastAsia="Times New Roman" w:hAnsi="C059" w:cs="Times New Roman"/>
          <w:iCs/>
          <w:color w:val="000000"/>
        </w:rPr>
        <w:t xml:space="preserve">послуги із забезпечення перетікань реактивної електричної енергії </w:t>
      </w:r>
      <w:r>
        <w:rPr>
          <w:rFonts w:ascii="C059" w:eastAsia="Times New Roman" w:hAnsi="C059" w:cs="Times New Roman"/>
        </w:rPr>
        <w:t xml:space="preserve"> для діяльності КП “Харківська обласна філармонія” у 2021 році визнач</w:t>
      </w:r>
      <w:r>
        <w:rPr>
          <w:rFonts w:ascii="C059" w:eastAsia="Times New Roman" w:hAnsi="C059" w:cs="Times New Roman"/>
        </w:rPr>
        <w:t>ено</w:t>
      </w:r>
      <w:r>
        <w:rPr>
          <w:rFonts w:ascii="C059" w:eastAsia="Times New Roman" w:hAnsi="C059" w:cs="Times New Roman"/>
        </w:rPr>
        <w:t xml:space="preserve"> з врахуванням да</w:t>
      </w:r>
      <w:r>
        <w:rPr>
          <w:rFonts w:ascii="C059" w:eastAsia="Times New Roman" w:hAnsi="C059" w:cs="Times New Roman"/>
        </w:rPr>
        <w:t>них проекта «Пам“ятникоохоронних робіт по будівлі – пам“ятці архітектури по вул. Римарська, 21 у м. Харкові (КП «Харківська філармо</w:t>
      </w:r>
      <w:r>
        <w:rPr>
          <w:rFonts w:ascii="C059" w:eastAsia="Times New Roman" w:hAnsi="C059" w:cs="Times New Roman"/>
        </w:rPr>
        <w:t>н</w:t>
      </w:r>
      <w:r>
        <w:rPr>
          <w:rFonts w:ascii="C059" w:eastAsia="Times New Roman" w:hAnsi="C059" w:cs="Times New Roman"/>
        </w:rPr>
        <w:t>ія») (реконструкція) (коригування у зв“язку з виділенням пускових комплексів)» та очікуваного споживання послуги за умови ви</w:t>
      </w:r>
      <w:r>
        <w:rPr>
          <w:rFonts w:ascii="C059" w:eastAsia="Times New Roman" w:hAnsi="C059" w:cs="Times New Roman"/>
        </w:rPr>
        <w:t>користання приміщень КП “Харківська обласна філармонія” на неповну потужність у 2021 р.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Fonts w:ascii="C059" w:eastAsia="Times New Roman" w:hAnsi="C059" w:cs="Times New Roman"/>
        </w:rPr>
        <w:t xml:space="preserve">Закупівля запланована з метою виконання Закону України «Про ринок електроенергії», Правил роздрібного ринку електричної енергії, </w:t>
      </w:r>
      <w:r>
        <w:rPr>
          <w:rFonts w:ascii="C059" w:eastAsia="Times New Roman" w:hAnsi="C059" w:cs="Times New Roman"/>
        </w:rPr>
        <w:t>затверджені</w:t>
      </w:r>
      <w:r>
        <w:rPr>
          <w:rFonts w:ascii="C059" w:eastAsia="Times New Roman" w:hAnsi="C059" w:cs="Times New Roman"/>
        </w:rPr>
        <w:t xml:space="preserve"> Постановою НКРЕКП 14.03.201</w:t>
      </w:r>
      <w:r>
        <w:rPr>
          <w:rFonts w:ascii="C059" w:eastAsia="Times New Roman" w:hAnsi="C059" w:cs="Times New Roman"/>
        </w:rPr>
        <w:t>8 № 312, Кодексу комерційного обліку електричної енергії, затвердженого постановою НКРЕКП від 14 березня 2018 року № 311., п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 xml:space="preserve">равил технічної експлуатації електроустановок споживачів,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затверджені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 xml:space="preserve"> Наказом Міністерства палива та енергетики 25.07.2006 № 258 (у </w:t>
      </w:r>
      <w:r>
        <w:rPr>
          <w:rStyle w:val="rvts0"/>
          <w:rFonts w:ascii="C059" w:eastAsia="Times New Roman" w:hAnsi="C059" w:cs="Times New Roman"/>
          <w:bCs/>
          <w:iCs/>
          <w:color w:val="000000"/>
        </w:rPr>
        <w:t>редакції наказу Міністерства енергетики та вугільної промисловості 13.02.2012 № 91).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Style w:val="rvts0"/>
          <w:rFonts w:ascii="C059" w:eastAsia="Times New Roman" w:hAnsi="C059" w:cs="Times New Roman"/>
          <w:bCs/>
          <w:iCs/>
          <w:color w:val="000000"/>
        </w:rPr>
        <w:t>Джерело фінансування – власний бюджет (кошти від господарської діяльності підприємства).</w:t>
      </w:r>
    </w:p>
    <w:p w:rsidR="00BE3301" w:rsidRDefault="004A6B25">
      <w:pPr>
        <w:pStyle w:val="LO-normal"/>
        <w:tabs>
          <w:tab w:val="left" w:pos="5727"/>
        </w:tabs>
        <w:spacing w:line="240" w:lineRule="auto"/>
        <w:ind w:firstLine="567"/>
        <w:jc w:val="both"/>
      </w:pPr>
      <w:r>
        <w:rPr>
          <w:rFonts w:ascii="C059" w:eastAsia="Times New Roman" w:hAnsi="C059" w:cs="Times New Roman"/>
        </w:rPr>
        <w:t xml:space="preserve">Очікувана вартість закупівлі </w:t>
      </w:r>
      <w:r>
        <w:rPr>
          <w:rFonts w:ascii="C059" w:eastAsia="Times New Roman" w:hAnsi="C059" w:cs="Times New Roman"/>
          <w:b/>
          <w:bCs/>
          <w:lang w:val="uk-UA"/>
        </w:rPr>
        <w:t xml:space="preserve">послуги із забезпечення перетікань реактивної </w:t>
      </w:r>
      <w:r>
        <w:rPr>
          <w:rFonts w:ascii="C059" w:eastAsia="Times New Roman" w:hAnsi="C059" w:cs="Times New Roman"/>
          <w:b/>
          <w:bCs/>
          <w:lang w:val="uk-UA"/>
        </w:rPr>
        <w:t>електричної енергії</w:t>
      </w:r>
      <w:r>
        <w:rPr>
          <w:rFonts w:ascii="C059" w:eastAsia="Times New Roman" w:hAnsi="C059" w:cs="Times New Roman"/>
          <w:lang w:val="uk-UA"/>
        </w:rPr>
        <w:t xml:space="preserve">, щодо яких проводиться державне регулювання цін і тарифів </w:t>
      </w:r>
      <w:r>
        <w:rPr>
          <w:rFonts w:ascii="C059" w:eastAsia="Times New Roman" w:hAnsi="C059" w:cs="Times New Roman"/>
          <w:lang w:val="uk-UA"/>
        </w:rPr>
        <w:t>розрахована</w:t>
      </w:r>
      <w:r>
        <w:rPr>
          <w:rFonts w:ascii="C059" w:eastAsia="Times New Roman" w:hAnsi="C059" w:cs="Times New Roman"/>
          <w:lang w:val="uk-UA"/>
        </w:rPr>
        <w:t xml:space="preserve"> на підставі </w:t>
      </w:r>
      <w:r>
        <w:rPr>
          <w:rFonts w:ascii="C059" w:eastAsia="Times New Roman" w:hAnsi="C059" w:cs="Times New Roman"/>
          <w:lang w:val="uk-UA"/>
        </w:rPr>
        <w:lastRenderedPageBreak/>
        <w:t xml:space="preserve">середньозваженої ціни акцептованої на РДН електроенергії за 20 днів грудня 2020р. яка оприлюднена АТ “Харківобленерго” на </w:t>
      </w:r>
      <w:r>
        <w:rPr>
          <w:rStyle w:val="st42"/>
          <w:rFonts w:ascii="C059" w:eastAsia="Times New Roman" w:hAnsi="C059" w:cs="Times New Roman"/>
          <w:highlight w:val="white"/>
          <w:lang w:val="uk-UA"/>
        </w:rPr>
        <w:t>офіційному веб-сайті в мережі Ін</w:t>
      </w:r>
      <w:r>
        <w:rPr>
          <w:rStyle w:val="st42"/>
          <w:rFonts w:ascii="C059" w:eastAsia="Times New Roman" w:hAnsi="C059" w:cs="Times New Roman"/>
          <w:highlight w:val="white"/>
          <w:lang w:val="uk-UA"/>
        </w:rPr>
        <w:t>тернет</w:t>
      </w:r>
      <w:r>
        <w:rPr>
          <w:rFonts w:ascii="C059" w:eastAsia="Times New Roman" w:hAnsi="C059" w:cs="Times New Roman"/>
          <w:lang w:val="uk-UA"/>
        </w:rPr>
        <w:t>: https://www.oblenergo.kharkov.ua/consumers/tarifs/taryfy-na-reaktyvnu-energiyu-na-sichen-2021r.</w:t>
      </w:r>
    </w:p>
    <w:p w:rsidR="00BE3301" w:rsidRDefault="00BE3301">
      <w:pPr>
        <w:pStyle w:val="LO-normal"/>
        <w:tabs>
          <w:tab w:val="left" w:pos="5727"/>
        </w:tabs>
        <w:spacing w:line="240" w:lineRule="auto"/>
        <w:jc w:val="both"/>
        <w:rPr>
          <w:rFonts w:ascii="C059" w:hAnsi="C059"/>
        </w:rPr>
      </w:pPr>
    </w:p>
    <w:p w:rsidR="00BE3301" w:rsidRDefault="004A6B25">
      <w:pPr>
        <w:tabs>
          <w:tab w:val="left" w:pos="5727"/>
        </w:tabs>
        <w:spacing w:after="200"/>
        <w:jc w:val="center"/>
        <w:rPr>
          <w:rFonts w:ascii="C059" w:hAnsi="C059"/>
        </w:rPr>
      </w:pPr>
      <w:r>
        <w:rPr>
          <w:rFonts w:ascii="C059" w:eastAsia="Times New Roman" w:hAnsi="C059" w:cs="Times New Roman"/>
          <w:lang w:val="uk-UA" w:eastAsia="ar-SA"/>
        </w:rPr>
        <w:t>Г</w:t>
      </w:r>
      <w:r>
        <w:rPr>
          <w:rFonts w:ascii="C059" w:eastAsia="Times New Roman" w:hAnsi="C059" w:cs="Times New Roman"/>
          <w:lang w:val="uk-UA"/>
        </w:rPr>
        <w:t>оловний інженер</w:t>
      </w:r>
      <w:r>
        <w:rPr>
          <w:rFonts w:ascii="C059" w:eastAsia="Times New Roman" w:hAnsi="C059" w:cs="Times New Roman"/>
          <w:lang w:val="uk-UA"/>
        </w:rPr>
        <w:tab/>
      </w:r>
      <w:r>
        <w:rPr>
          <w:rFonts w:ascii="C059" w:eastAsia="Times New Roman" w:hAnsi="C059" w:cs="Times New Roman"/>
          <w:lang w:val="uk-UA" w:eastAsia="ar-SA"/>
        </w:rPr>
        <w:t>Жуков Е. Ю.</w:t>
      </w:r>
    </w:p>
    <w:p w:rsidR="00BE3301" w:rsidRDefault="00BE3301">
      <w:pPr>
        <w:tabs>
          <w:tab w:val="left" w:pos="5727"/>
        </w:tabs>
        <w:spacing w:after="200"/>
        <w:jc w:val="center"/>
        <w:rPr>
          <w:rFonts w:ascii="C059" w:hAnsi="C059"/>
        </w:rPr>
      </w:pPr>
    </w:p>
    <w:sectPr w:rsidR="00BE3301">
      <w:pgSz w:w="11906" w:h="16838"/>
      <w:pgMar w:top="1050" w:right="973" w:bottom="938" w:left="150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059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E3301"/>
    <w:rsid w:val="004A6B25"/>
    <w:rsid w:val="00B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Символ нумерации"/>
    <w:qFormat/>
    <w:rPr>
      <w:rFonts w:ascii="C059" w:hAnsi="C059"/>
    </w:rPr>
  </w:style>
  <w:style w:type="character" w:customStyle="1" w:styleId="st42">
    <w:name w:val="st42"/>
    <w:qFormat/>
    <w:rPr>
      <w:color w:val="00000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rvts0">
    <w:name w:val="rvts0"/>
    <w:basedOn w:val="a0"/>
    <w:qFormat/>
  </w:style>
  <w:style w:type="character" w:customStyle="1" w:styleId="a6">
    <w:name w:val="Текст выноски Знак"/>
    <w:qFormat/>
    <w:rPr>
      <w:rFonts w:ascii="Segoe UI" w:eastAsia="Segoe UI" w:hAnsi="Segoe UI"/>
      <w:sz w:val="18"/>
      <w:szCs w:val="18"/>
    </w:rPr>
  </w:style>
  <w:style w:type="character" w:customStyle="1" w:styleId="10">
    <w:name w:val="Заголовок 1 Знак"/>
    <w:qFormat/>
    <w:rPr>
      <w:rFonts w:ascii="Arial" w:eastAsia="Arial" w:hAnsi="Arial"/>
      <w:b/>
      <w:bCs/>
      <w:kern w:val="2"/>
      <w:sz w:val="32"/>
      <w:szCs w:val="3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c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d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Liberation Serif" w:eastAsia="SimSun;宋体" w:hAnsi="Liberation Serif"/>
      <w:kern w:val="2"/>
      <w:sz w:val="24"/>
      <w:szCs w:val="24"/>
      <w:lang w:val="uk-U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styleId="af">
    <w:name w:val="No Spacing"/>
    <w:qFormat/>
    <w:pPr>
      <w:spacing w:after="200" w:line="276" w:lineRule="auto"/>
      <w:jc w:val="both"/>
      <w:textAlignment w:val="baseline"/>
    </w:pPr>
    <w:rPr>
      <w:rFonts w:ascii="Liberation Serif" w:eastAsia="Mangal" w:hAnsi="Liberation Serif" w:cs="Liberation Serif"/>
      <w:kern w:val="2"/>
      <w:sz w:val="18"/>
      <w:szCs w:val="18"/>
      <w:lang w:val="uk-UA" w:eastAsia="hi-IN"/>
    </w:rPr>
  </w:style>
  <w:style w:type="paragraph" w:customStyle="1" w:styleId="af0">
    <w:name w:val="Подпись к таблице"/>
    <w:basedOn w:val="a"/>
    <w:qFormat/>
    <w:pPr>
      <w:widowControl w:val="0"/>
      <w:spacing w:line="240" w:lineRule="auto"/>
      <w:jc w:val="center"/>
    </w:pPr>
    <w:rPr>
      <w:color w:val="000000"/>
      <w:sz w:val="20"/>
      <w:szCs w:val="20"/>
      <w:u w:val="single"/>
      <w:lang w:val="uk-UA" w:eastAsia="uk-UA" w:bidi="uk-UA"/>
    </w:rPr>
  </w:style>
  <w:style w:type="paragraph" w:customStyle="1" w:styleId="af1">
    <w:name w:val="Другое"/>
    <w:basedOn w:val="a"/>
    <w:qFormat/>
    <w:pPr>
      <w:widowControl w:val="0"/>
      <w:spacing w:line="252" w:lineRule="auto"/>
    </w:pPr>
    <w:rPr>
      <w:lang w:val="uk-UA" w:eastAsia="en-US"/>
    </w:rPr>
  </w:style>
  <w:style w:type="paragraph" w:customStyle="1" w:styleId="af2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3">
    <w:name w:val="Покажчик"/>
    <w:basedOn w:val="a"/>
    <w:qFormat/>
    <w:rPr>
      <w:rFonts w:eastAsia="Lucida Sans"/>
      <w:lang w:eastAsia="ar-SA"/>
    </w:rPr>
  </w:style>
  <w:style w:type="paragraph" w:styleId="af4">
    <w:name w:val="Normal (Web)"/>
    <w:basedOn w:val="a"/>
    <w:qFormat/>
    <w:pPr>
      <w:spacing w:beforeAutospacing="1" w:after="142"/>
    </w:pPr>
    <w:rPr>
      <w:rFonts w:ascii="Times New Roman" w:eastAsia="Times New Roman" w:hAnsi="Times New Roman"/>
      <w:lang w:eastAsia="ar-SA"/>
    </w:rPr>
  </w:style>
  <w:style w:type="paragraph" w:styleId="af5">
    <w:name w:val="Balloon Text"/>
    <w:basedOn w:val="a"/>
    <w:qFormat/>
    <w:pPr>
      <w:spacing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styleId="af6">
    <w:name w:val="List Paragraph"/>
    <w:basedOn w:val="a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2021-01-29T10:00:00Z</cp:lastPrinted>
  <dcterms:created xsi:type="dcterms:W3CDTF">2021-02-11T17:35:00Z</dcterms:created>
  <dcterms:modified xsi:type="dcterms:W3CDTF">2021-02-11T17:35:00Z</dcterms:modified>
  <dc:language>ru-RU</dc:language>
</cp:coreProperties>
</file>