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Електрична енергія  код ДК 021:2015: 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cs="C059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uk-UA"/>
        </w:rPr>
        <w:t>Електрична енергія  код ДК 021:2015: 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450 000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 до 31 грудня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 код ДК 021:2015: 09310000-5 -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 до 31.12.2022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65"/>
        <w:gridCol w:w="2657"/>
        <w:gridCol w:w="1323"/>
        <w:gridCol w:w="1393"/>
        <w:gridCol w:w="1461"/>
        <w:gridCol w:w="1021"/>
      </w:tblGrid>
      <w:tr>
        <w:trPr>
          <w:trHeight w:val="84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450 000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6"/>
        <w:gridCol w:w="4030"/>
        <w:gridCol w:w="2098"/>
        <w:gridCol w:w="3417"/>
      </w:tblGrid>
      <w:tr>
        <w:trPr/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Для забезпечення електричною енергією будівлю КП “Харківська обласна філармонія” за адресою: 61057, Україна, Харківська область, м. Харків, вул. Римарська, буд 21  відповідно до Законів України Про публічні закупівлі, Про ринок електричної енергії необхідно здійснити закупівлю товару: Електрична енергія код ДК 021:2015  09310000-5: електрична енергія  в обсязі 450 000,00 кВТ/год  на період з 01.04.2022р. до 31.12.2022р.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 сформований виходячи з умов даних проекту ”Пам’ятникоохоронних робіт по будівлі — пам’ятці архітектури по вул. Римарська,  21 у м. Харкові (КП Харківська філармонія) (реконструкція) (коригування у зв'язку з виділенням пускових комплексів)”, де визначено, що техніко-економічні показники електроенергії для забезпечення експлуатаційної безпеки будівлі становлять 3 500 000,00 кВт/год.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10. </w:t>
        <w:tab/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>Очікувана вартість закупівлі: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 2 146 020,54 грн. (два мільйони сто сорок шість тисяч  двадцять  грн. 54 коп.), з урахуванням ПДВ визначена Правилами роздрібного ринку електричної енергії, затвердженими постановою НКРЕКП № 2454 від 01.12.2021 р. “Про встановлення тарифу на послуги з передачі електричної енергії НЕК “Укренерго” на 2022 рік, Порівняльним аналізом роботи ринку «на добу наперед» та внутрішньодобового ринку, порівняльним аналізом цін аналогічних закупівель на “Прозорро”.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Times New Roman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LibreOffice/6.2.8.2$Windows_x86 LibreOffice_project/f82ddfca21ebc1e222a662a32b25c0c9d20169ee</Application>
  <Pages>2</Pages>
  <Words>617</Words>
  <Characters>4277</Characters>
  <CharactersWithSpaces>4853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2022-04-06T11:33:13Z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